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7"/>
        <w:rPr>
          <w:sz w:val="25"/>
        </w:rPr>
      </w:pPr>
    </w:p>
    <w:p>
      <w:pPr>
        <w:spacing w:before="90"/>
        <w:ind w:left="769" w:right="0" w:firstLine="0"/>
        <w:jc w:val="left"/>
        <w:rPr>
          <w:rFonts w:ascii="Arial" w:hAnsi="Arial"/>
          <w:b/>
          <w:sz w:val="34"/>
        </w:rPr>
      </w:pPr>
      <w:r>
        <w:rPr>
          <w:rFonts w:ascii="Arial" w:hAnsi="Arial"/>
          <w:b/>
          <w:sz w:val="34"/>
        </w:rPr>
        <w:t>Miljö- och hälsoeffekter från båtlivets kemikalier</w:t>
      </w:r>
    </w:p>
    <w:p>
      <w:pPr>
        <w:spacing w:line="292" w:lineRule="auto" w:before="185"/>
        <w:ind w:left="116" w:right="112" w:firstLine="0"/>
        <w:jc w:val="left"/>
        <w:rPr>
          <w:rFonts w:ascii="Arial" w:hAnsi="Arial"/>
          <w:b/>
          <w:sz w:val="24"/>
        </w:rPr>
      </w:pPr>
      <w:r>
        <w:rPr>
          <w:rFonts w:ascii="Arial" w:hAnsi="Arial"/>
          <w:b/>
          <w:sz w:val="24"/>
        </w:rPr>
        <w:t>Kemikalier som används inom båtlivet kan innebära risk för negativ påverkan på både människors hälsa och miljön. Effekterna beror bland annat på vilken typ av kemikalier som används och i vilken omfattning människor och miljön utsätts för</w:t>
      </w:r>
      <w:r>
        <w:rPr>
          <w:rFonts w:ascii="Arial" w:hAnsi="Arial"/>
          <w:b/>
          <w:spacing w:val="-1"/>
          <w:sz w:val="24"/>
        </w:rPr>
        <w:t> </w:t>
      </w:r>
      <w:r>
        <w:rPr>
          <w:rFonts w:ascii="Arial" w:hAnsi="Arial"/>
          <w:b/>
          <w:sz w:val="24"/>
        </w:rPr>
        <w:t>dessa.</w:t>
      </w:r>
    </w:p>
    <w:p>
      <w:pPr>
        <w:pStyle w:val="BodyText"/>
        <w:rPr>
          <w:rFonts w:ascii="Arial"/>
          <w:b/>
          <w:sz w:val="26"/>
        </w:rPr>
      </w:pPr>
    </w:p>
    <w:p>
      <w:pPr>
        <w:pStyle w:val="Heading1"/>
        <w:spacing w:before="160"/>
      </w:pPr>
      <w:r>
        <w:rPr/>
        <w:t>Exponeringsvägar</w:t>
      </w:r>
    </w:p>
    <w:p>
      <w:pPr>
        <w:pStyle w:val="BodyText"/>
        <w:spacing w:before="112"/>
        <w:ind w:left="116" w:right="214"/>
        <w:jc w:val="both"/>
      </w:pPr>
      <w:r>
        <w:rPr/>
        <w:t>De olika möjligheterna för människor och djur att utsättas för föroreningar kallas exponeringsvägar. Efter exponering kan föroreningen tas upp av kroppen och skada direkt (akut) eller spridas för att senare orsaka en skada på något annat organ.</w:t>
      </w:r>
    </w:p>
    <w:p>
      <w:pPr>
        <w:pStyle w:val="BodyText"/>
        <w:spacing w:before="5"/>
        <w:rPr>
          <w:sz w:val="21"/>
        </w:rPr>
      </w:pPr>
    </w:p>
    <w:p>
      <w:pPr>
        <w:spacing w:before="0"/>
        <w:ind w:left="116" w:right="0" w:firstLine="0"/>
        <w:jc w:val="left"/>
        <w:rPr>
          <w:rFonts w:ascii="Arial"/>
          <w:b/>
          <w:i/>
          <w:sz w:val="22"/>
        </w:rPr>
      </w:pPr>
      <w:r>
        <w:rPr>
          <w:rFonts w:ascii="Arial"/>
          <w:b/>
          <w:i/>
          <w:sz w:val="22"/>
        </w:rPr>
        <w:t>Genom inandning</w:t>
      </w:r>
    </w:p>
    <w:p>
      <w:pPr>
        <w:pStyle w:val="BodyText"/>
        <w:spacing w:before="80"/>
        <w:ind w:left="116" w:right="766"/>
        <w:jc w:val="both"/>
      </w:pPr>
      <w:r>
        <w:rPr/>
        <w:t>Om en förorening i form av damm eller ångor når lungorna kan skada uppstå där eller</w:t>
      </w:r>
      <w:r>
        <w:rPr>
          <w:spacing w:val="-21"/>
        </w:rPr>
        <w:t> </w:t>
      </w:r>
      <w:r>
        <w:rPr/>
        <w:t>på annan plats i kroppen. Det kan exempelvis uppstå vid slipning och blästring utan korrekt andningsskydd.</w:t>
      </w:r>
    </w:p>
    <w:p>
      <w:pPr>
        <w:pStyle w:val="BodyText"/>
        <w:spacing w:before="4"/>
        <w:rPr>
          <w:sz w:val="21"/>
        </w:rPr>
      </w:pPr>
    </w:p>
    <w:p>
      <w:pPr>
        <w:spacing w:before="0"/>
        <w:ind w:left="116" w:right="0" w:firstLine="0"/>
        <w:jc w:val="left"/>
        <w:rPr>
          <w:rFonts w:ascii="Arial"/>
          <w:b/>
          <w:i/>
          <w:sz w:val="22"/>
        </w:rPr>
      </w:pPr>
      <w:r>
        <w:rPr>
          <w:rFonts w:ascii="Arial"/>
          <w:b/>
          <w:i/>
          <w:sz w:val="22"/>
        </w:rPr>
        <w:t>Via munnen (mag-tarmkanalen)</w:t>
      </w:r>
    </w:p>
    <w:p>
      <w:pPr>
        <w:pStyle w:val="BodyText"/>
        <w:spacing w:before="53"/>
        <w:ind w:left="116" w:right="277"/>
      </w:pPr>
      <w:r>
        <w:rPr/>
        <w:t>Vid läckage av kemikalier kan mark och vatten förorenas. En väg att utsättas för dessa föroreningar är direkt intag av förorenad jord eller vatten. Det kan ske t ex genom att små barn äter jord eller att man får i sig jord via dåligt sköljda grönsaker som odlats i förorenad jord eller att dessa grönsaker i sig är förorenade genom upptag av farliga ämnen. En vanligare väg kan vara intag av förorenat vatten, t ex via en brunn.</w:t>
      </w:r>
    </w:p>
    <w:p>
      <w:pPr>
        <w:pStyle w:val="BodyText"/>
        <w:spacing w:before="5"/>
        <w:rPr>
          <w:sz w:val="21"/>
        </w:rPr>
      </w:pPr>
    </w:p>
    <w:p>
      <w:pPr>
        <w:spacing w:before="0"/>
        <w:ind w:left="116" w:right="0" w:firstLine="0"/>
        <w:jc w:val="left"/>
        <w:rPr>
          <w:rFonts w:ascii="Arial"/>
          <w:b/>
          <w:i/>
          <w:sz w:val="22"/>
        </w:rPr>
      </w:pPr>
      <w:r>
        <w:rPr>
          <w:rFonts w:ascii="Arial"/>
          <w:b/>
          <w:i/>
          <w:sz w:val="22"/>
        </w:rPr>
        <w:t>Hudexponering</w:t>
      </w:r>
    </w:p>
    <w:p>
      <w:pPr>
        <w:pStyle w:val="BodyText"/>
        <w:spacing w:before="58"/>
        <w:ind w:left="116" w:right="211"/>
        <w:jc w:val="both"/>
      </w:pPr>
      <w:r>
        <w:rPr/>
        <w:t>Huden kan exponeras via kontakt med kemikalier, exempelvis färger, men även via kontakt med förorenad jord eller sediment. Föroreningarna kan skada huden direkt eller tas upp</w:t>
      </w:r>
      <w:r>
        <w:rPr>
          <w:spacing w:val="-32"/>
        </w:rPr>
        <w:t> </w:t>
      </w:r>
      <w:r>
        <w:rPr/>
        <w:t>genom huden och skada andra</w:t>
      </w:r>
      <w:r>
        <w:rPr>
          <w:spacing w:val="-5"/>
        </w:rPr>
        <w:t> </w:t>
      </w:r>
      <w:r>
        <w:rPr/>
        <w:t>organ.</w:t>
      </w:r>
    </w:p>
    <w:p>
      <w:pPr>
        <w:pStyle w:val="BodyText"/>
        <w:rPr>
          <w:sz w:val="21"/>
        </w:rPr>
      </w:pPr>
    </w:p>
    <w:p>
      <w:pPr>
        <w:pStyle w:val="Heading1"/>
      </w:pPr>
      <w:r>
        <w:rPr/>
        <w:t>Spridningsvägar i miljön</w:t>
      </w:r>
    </w:p>
    <w:p>
      <w:pPr>
        <w:pStyle w:val="BodyText"/>
        <w:spacing w:before="60"/>
        <w:ind w:left="116" w:right="217"/>
        <w:jc w:val="both"/>
      </w:pPr>
      <w:r>
        <w:rPr/>
        <w:t>Kemikalier kan spridas på olika sätt i miljön. De huvudsakliga transportvägarna är via luft, vatten och mark. Exempelvis kan kemikalier som hamnar på marken ta sig ner till grundvattnet och därefter spridas till närliggande sjö. Där kan föroreningarna sedan leda till skador på vattenmiljön och på djur som lever i vatten och sediment.</w:t>
      </w:r>
    </w:p>
    <w:p>
      <w:pPr>
        <w:pStyle w:val="BodyText"/>
        <w:spacing w:before="3"/>
        <w:rPr>
          <w:sz w:val="21"/>
        </w:rPr>
      </w:pPr>
    </w:p>
    <w:p>
      <w:pPr>
        <w:pStyle w:val="Heading1"/>
        <w:spacing w:line="296" w:lineRule="exact"/>
      </w:pPr>
      <w:r>
        <w:rPr/>
        <w:t>Olika ämnens miljö- och hälsofarlighet</w:t>
      </w:r>
    </w:p>
    <w:p>
      <w:pPr>
        <w:pStyle w:val="BodyText"/>
        <w:ind w:left="116" w:right="243"/>
      </w:pPr>
      <w:r>
        <w:rPr/>
        <w:t>Vid bedömningen av ett ämnes miljö- och hälsofarlighet (inneboende egenskaper) tas hänsyn till deras nedbrytbarhet, biotillgänglighet (substansens möjlighet att tas upp av kroppen), bioackumulerbarhet (substansens förmåga att upplagras i levande vävnader) samt toxicitet (giftighet). I båtklubbsverksamhet förekommer en många olika skadliga ämnen och det är inte möjligt att här redogöra för alla dessa. Nedan följer dock en kort presentation av ett urval av förekommande ämnen och ämnesgrupper samt deras inneboende egenskaper vad gäller miljö och hälsa.</w:t>
      </w:r>
    </w:p>
    <w:p>
      <w:pPr>
        <w:spacing w:after="0"/>
        <w:sectPr>
          <w:headerReference w:type="default" r:id="rId5"/>
          <w:type w:val="continuous"/>
          <w:pgSz w:w="11910" w:h="16840"/>
          <w:pgMar w:header="728" w:top="1660" w:bottom="280" w:left="1300" w:right="120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p>
    <w:p>
      <w:pPr>
        <w:pStyle w:val="ListParagraph"/>
        <w:numPr>
          <w:ilvl w:val="0"/>
          <w:numId w:val="1"/>
        </w:numPr>
        <w:tabs>
          <w:tab w:pos="817" w:val="left" w:leader="none"/>
          <w:tab w:pos="818" w:val="left" w:leader="none"/>
        </w:tabs>
        <w:spacing w:line="240" w:lineRule="auto" w:before="90" w:after="0"/>
        <w:ind w:left="817" w:right="553" w:hanging="360"/>
        <w:jc w:val="left"/>
        <w:rPr>
          <w:rFonts w:ascii="Symbol" w:hAnsi="Symbol"/>
          <w:color w:val="4F4F4F"/>
          <w:sz w:val="20"/>
        </w:rPr>
      </w:pPr>
      <w:r>
        <w:rPr>
          <w:b/>
          <w:sz w:val="24"/>
        </w:rPr>
        <w:t>Zink </w:t>
      </w:r>
      <w:r>
        <w:rPr>
          <w:sz w:val="24"/>
        </w:rPr>
        <w:t>som finns i bland annat många båtbottenfärger kan i höga halter ha en giftverkan för såväl vattenlevande organismer som växter. Zink kan vara ett</w:t>
      </w:r>
      <w:r>
        <w:rPr>
          <w:spacing w:val="-29"/>
          <w:sz w:val="24"/>
        </w:rPr>
        <w:t> </w:t>
      </w:r>
      <w:r>
        <w:rPr>
          <w:sz w:val="24"/>
        </w:rPr>
        <w:t>mycket starkt gift i form av vissa organiska salter och komplex. Vidare kan zink tas upp i människors- och djurs kroppar och lagras</w:t>
      </w:r>
      <w:r>
        <w:rPr>
          <w:spacing w:val="-23"/>
          <w:sz w:val="24"/>
        </w:rPr>
        <w:t> </w:t>
      </w:r>
      <w:r>
        <w:rPr>
          <w:sz w:val="24"/>
        </w:rPr>
        <w:t>där.</w:t>
      </w:r>
    </w:p>
    <w:p>
      <w:pPr>
        <w:pStyle w:val="BodyText"/>
        <w:spacing w:before="11"/>
        <w:rPr>
          <w:sz w:val="23"/>
        </w:rPr>
      </w:pPr>
    </w:p>
    <w:p>
      <w:pPr>
        <w:pStyle w:val="ListParagraph"/>
        <w:numPr>
          <w:ilvl w:val="0"/>
          <w:numId w:val="1"/>
        </w:numPr>
        <w:tabs>
          <w:tab w:pos="817" w:val="left" w:leader="none"/>
          <w:tab w:pos="818" w:val="left" w:leader="none"/>
        </w:tabs>
        <w:spacing w:line="240" w:lineRule="auto" w:before="0" w:after="0"/>
        <w:ind w:left="817" w:right="598" w:hanging="360"/>
        <w:jc w:val="left"/>
        <w:rPr>
          <w:rFonts w:ascii="Symbol" w:hAnsi="Symbol"/>
          <w:color w:val="4F4F4F"/>
          <w:sz w:val="20"/>
        </w:rPr>
      </w:pPr>
      <w:r>
        <w:rPr>
          <w:b/>
          <w:sz w:val="24"/>
        </w:rPr>
        <w:t>Koppar </w:t>
      </w:r>
      <w:r>
        <w:rPr>
          <w:sz w:val="24"/>
        </w:rPr>
        <w:t>är liksom zink ett livsnödvändigt ämne och vanligt förekommande som biocid i båtbottenfärg. Vid högre halter är koppar dock mycket giftigt för de flesta vattenlevande organismer. Många marklevande organismer är också känsliga för ämnet. Koppar kan liksom zink tas upp och lagras i människors- och djurs</w:t>
      </w:r>
      <w:r>
        <w:rPr>
          <w:spacing w:val="-12"/>
          <w:sz w:val="24"/>
        </w:rPr>
        <w:t> </w:t>
      </w:r>
      <w:r>
        <w:rPr>
          <w:sz w:val="24"/>
        </w:rPr>
        <w:t>kroppar.</w:t>
      </w:r>
    </w:p>
    <w:p>
      <w:pPr>
        <w:pStyle w:val="BodyText"/>
        <w:spacing w:before="1"/>
      </w:pPr>
    </w:p>
    <w:p>
      <w:pPr>
        <w:pStyle w:val="ListParagraph"/>
        <w:numPr>
          <w:ilvl w:val="0"/>
          <w:numId w:val="1"/>
        </w:numPr>
        <w:tabs>
          <w:tab w:pos="817" w:val="left" w:leader="none"/>
          <w:tab w:pos="818" w:val="left" w:leader="none"/>
        </w:tabs>
        <w:spacing w:line="240" w:lineRule="auto" w:before="0" w:after="0"/>
        <w:ind w:left="817" w:right="1072" w:hanging="360"/>
        <w:jc w:val="left"/>
        <w:rPr>
          <w:rFonts w:ascii="Symbol" w:hAnsi="Symbol"/>
          <w:color w:val="4F4F4F"/>
          <w:sz w:val="20"/>
        </w:rPr>
      </w:pPr>
      <w:r>
        <w:rPr>
          <w:b/>
          <w:sz w:val="24"/>
        </w:rPr>
        <w:t>Bly</w:t>
      </w:r>
      <w:r>
        <w:rPr>
          <w:b/>
          <w:spacing w:val="-5"/>
          <w:sz w:val="24"/>
        </w:rPr>
        <w:t> </w:t>
      </w:r>
      <w:r>
        <w:rPr>
          <w:sz w:val="24"/>
        </w:rPr>
        <w:t>kan</w:t>
      </w:r>
      <w:r>
        <w:rPr>
          <w:spacing w:val="-6"/>
          <w:sz w:val="24"/>
        </w:rPr>
        <w:t> </w:t>
      </w:r>
      <w:r>
        <w:rPr>
          <w:sz w:val="24"/>
        </w:rPr>
        <w:t>skada</w:t>
      </w:r>
      <w:r>
        <w:rPr>
          <w:spacing w:val="-8"/>
          <w:sz w:val="24"/>
        </w:rPr>
        <w:t> </w:t>
      </w:r>
      <w:r>
        <w:rPr>
          <w:sz w:val="24"/>
        </w:rPr>
        <w:t>nervsystemet.</w:t>
      </w:r>
      <w:r>
        <w:rPr>
          <w:spacing w:val="-4"/>
          <w:sz w:val="24"/>
        </w:rPr>
        <w:t> </w:t>
      </w:r>
      <w:r>
        <w:rPr>
          <w:sz w:val="24"/>
        </w:rPr>
        <w:t>Bly</w:t>
      </w:r>
      <w:r>
        <w:rPr>
          <w:spacing w:val="-11"/>
          <w:sz w:val="24"/>
        </w:rPr>
        <w:t> </w:t>
      </w:r>
      <w:r>
        <w:rPr>
          <w:sz w:val="24"/>
        </w:rPr>
        <w:t>kan</w:t>
      </w:r>
      <w:r>
        <w:rPr>
          <w:spacing w:val="-4"/>
          <w:sz w:val="24"/>
        </w:rPr>
        <w:t> </w:t>
      </w:r>
      <w:r>
        <w:rPr>
          <w:sz w:val="24"/>
        </w:rPr>
        <w:t>tas</w:t>
      </w:r>
      <w:r>
        <w:rPr>
          <w:spacing w:val="-7"/>
          <w:sz w:val="24"/>
        </w:rPr>
        <w:t> </w:t>
      </w:r>
      <w:r>
        <w:rPr>
          <w:sz w:val="24"/>
        </w:rPr>
        <w:t>upp</w:t>
      </w:r>
      <w:r>
        <w:rPr>
          <w:spacing w:val="-6"/>
          <w:sz w:val="24"/>
        </w:rPr>
        <w:t> </w:t>
      </w:r>
      <w:r>
        <w:rPr>
          <w:sz w:val="24"/>
        </w:rPr>
        <w:t>och</w:t>
      </w:r>
      <w:r>
        <w:rPr>
          <w:spacing w:val="-7"/>
          <w:sz w:val="24"/>
        </w:rPr>
        <w:t> </w:t>
      </w:r>
      <w:r>
        <w:rPr>
          <w:sz w:val="24"/>
        </w:rPr>
        <w:t>lagras</w:t>
      </w:r>
      <w:r>
        <w:rPr>
          <w:spacing w:val="-6"/>
          <w:sz w:val="24"/>
        </w:rPr>
        <w:t> </w:t>
      </w:r>
      <w:r>
        <w:rPr>
          <w:sz w:val="24"/>
        </w:rPr>
        <w:t>i</w:t>
      </w:r>
      <w:r>
        <w:rPr>
          <w:spacing w:val="-6"/>
          <w:sz w:val="24"/>
        </w:rPr>
        <w:t> </w:t>
      </w:r>
      <w:r>
        <w:rPr>
          <w:sz w:val="24"/>
        </w:rPr>
        <w:t>människors</w:t>
      </w:r>
      <w:r>
        <w:rPr>
          <w:spacing w:val="-7"/>
          <w:sz w:val="24"/>
        </w:rPr>
        <w:t> </w:t>
      </w:r>
      <w:r>
        <w:rPr>
          <w:sz w:val="24"/>
        </w:rPr>
        <w:t>och</w:t>
      </w:r>
      <w:r>
        <w:rPr>
          <w:spacing w:val="-6"/>
          <w:sz w:val="24"/>
        </w:rPr>
        <w:t> </w:t>
      </w:r>
      <w:r>
        <w:rPr>
          <w:sz w:val="24"/>
        </w:rPr>
        <w:t>djurs kroppar.</w:t>
      </w:r>
    </w:p>
    <w:p>
      <w:pPr>
        <w:pStyle w:val="BodyText"/>
      </w:pPr>
    </w:p>
    <w:p>
      <w:pPr>
        <w:pStyle w:val="ListParagraph"/>
        <w:numPr>
          <w:ilvl w:val="0"/>
          <w:numId w:val="1"/>
        </w:numPr>
        <w:tabs>
          <w:tab w:pos="817" w:val="left" w:leader="none"/>
          <w:tab w:pos="818" w:val="left" w:leader="none"/>
        </w:tabs>
        <w:spacing w:line="240" w:lineRule="auto" w:before="0" w:after="0"/>
        <w:ind w:left="817" w:right="371" w:hanging="360"/>
        <w:jc w:val="left"/>
        <w:rPr>
          <w:rFonts w:ascii="Symbol" w:hAnsi="Symbol"/>
          <w:color w:val="4F4F4F"/>
          <w:sz w:val="20"/>
        </w:rPr>
      </w:pPr>
      <w:r>
        <w:rPr>
          <w:b/>
          <w:sz w:val="24"/>
        </w:rPr>
        <w:t>Butyltennföreningar</w:t>
      </w:r>
      <w:r>
        <w:rPr>
          <w:b/>
          <w:spacing w:val="-6"/>
          <w:sz w:val="24"/>
        </w:rPr>
        <w:t> </w:t>
      </w:r>
      <w:r>
        <w:rPr>
          <w:b/>
          <w:sz w:val="24"/>
        </w:rPr>
        <w:t>(t.ex.</w:t>
      </w:r>
      <w:r>
        <w:rPr>
          <w:b/>
          <w:spacing w:val="-4"/>
          <w:sz w:val="24"/>
        </w:rPr>
        <w:t> </w:t>
      </w:r>
      <w:r>
        <w:rPr>
          <w:b/>
          <w:sz w:val="24"/>
        </w:rPr>
        <w:t>TBT)</w:t>
      </w:r>
      <w:r>
        <w:rPr>
          <w:b/>
          <w:spacing w:val="-3"/>
          <w:sz w:val="24"/>
        </w:rPr>
        <w:t> </w:t>
      </w:r>
      <w:r>
        <w:rPr>
          <w:sz w:val="24"/>
        </w:rPr>
        <w:t>har</w:t>
      </w:r>
      <w:r>
        <w:rPr>
          <w:spacing w:val="-4"/>
          <w:sz w:val="24"/>
        </w:rPr>
        <w:t> </w:t>
      </w:r>
      <w:r>
        <w:rPr>
          <w:sz w:val="24"/>
        </w:rPr>
        <w:t>tidigare</w:t>
      </w:r>
      <w:r>
        <w:rPr>
          <w:spacing w:val="-6"/>
          <w:sz w:val="24"/>
        </w:rPr>
        <w:t> </w:t>
      </w:r>
      <w:r>
        <w:rPr>
          <w:sz w:val="24"/>
        </w:rPr>
        <w:t>använts</w:t>
      </w:r>
      <w:r>
        <w:rPr>
          <w:spacing w:val="-8"/>
          <w:sz w:val="24"/>
        </w:rPr>
        <w:t> </w:t>
      </w:r>
      <w:r>
        <w:rPr>
          <w:sz w:val="24"/>
        </w:rPr>
        <w:t>som</w:t>
      </w:r>
      <w:r>
        <w:rPr>
          <w:spacing w:val="-6"/>
          <w:sz w:val="24"/>
        </w:rPr>
        <w:t> </w:t>
      </w:r>
      <w:r>
        <w:rPr>
          <w:sz w:val="24"/>
        </w:rPr>
        <w:t>biocid</w:t>
      </w:r>
      <w:r>
        <w:rPr>
          <w:spacing w:val="-7"/>
          <w:sz w:val="24"/>
        </w:rPr>
        <w:t> </w:t>
      </w:r>
      <w:r>
        <w:rPr>
          <w:sz w:val="24"/>
        </w:rPr>
        <w:t>i</w:t>
      </w:r>
      <w:r>
        <w:rPr>
          <w:spacing w:val="-6"/>
          <w:sz w:val="24"/>
        </w:rPr>
        <w:t> </w:t>
      </w:r>
      <w:r>
        <w:rPr>
          <w:sz w:val="24"/>
        </w:rPr>
        <w:t>båtbottenfärg</w:t>
      </w:r>
      <w:r>
        <w:rPr>
          <w:spacing w:val="-8"/>
          <w:sz w:val="24"/>
        </w:rPr>
        <w:t> </w:t>
      </w:r>
      <w:r>
        <w:rPr>
          <w:sz w:val="24"/>
        </w:rPr>
        <w:t>och är mycket giftiga redan i små mängder. Tennorganiska föreningar kan tas upp i människors-</w:t>
      </w:r>
      <w:r>
        <w:rPr>
          <w:spacing w:val="-9"/>
          <w:sz w:val="24"/>
        </w:rPr>
        <w:t> </w:t>
      </w:r>
      <w:r>
        <w:rPr>
          <w:sz w:val="24"/>
        </w:rPr>
        <w:t>och</w:t>
      </w:r>
      <w:r>
        <w:rPr>
          <w:spacing w:val="-7"/>
          <w:sz w:val="24"/>
        </w:rPr>
        <w:t> </w:t>
      </w:r>
      <w:r>
        <w:rPr>
          <w:sz w:val="24"/>
        </w:rPr>
        <w:t>djurs</w:t>
      </w:r>
      <w:r>
        <w:rPr>
          <w:spacing w:val="-8"/>
          <w:sz w:val="24"/>
        </w:rPr>
        <w:t> </w:t>
      </w:r>
      <w:r>
        <w:rPr>
          <w:sz w:val="24"/>
        </w:rPr>
        <w:t>kroppar,</w:t>
      </w:r>
      <w:r>
        <w:rPr>
          <w:spacing w:val="-7"/>
          <w:sz w:val="24"/>
        </w:rPr>
        <w:t> </w:t>
      </w:r>
      <w:r>
        <w:rPr>
          <w:sz w:val="24"/>
        </w:rPr>
        <w:t>lagras</w:t>
      </w:r>
      <w:r>
        <w:rPr>
          <w:spacing w:val="-8"/>
          <w:sz w:val="24"/>
        </w:rPr>
        <w:t> </w:t>
      </w:r>
      <w:r>
        <w:rPr>
          <w:sz w:val="24"/>
        </w:rPr>
        <w:t>där</w:t>
      </w:r>
      <w:r>
        <w:rPr>
          <w:spacing w:val="-8"/>
          <w:sz w:val="24"/>
        </w:rPr>
        <w:t> </w:t>
      </w:r>
      <w:r>
        <w:rPr>
          <w:sz w:val="24"/>
        </w:rPr>
        <w:t>och</w:t>
      </w:r>
      <w:r>
        <w:rPr>
          <w:spacing w:val="-8"/>
          <w:sz w:val="24"/>
        </w:rPr>
        <w:t> </w:t>
      </w:r>
      <w:r>
        <w:rPr>
          <w:sz w:val="24"/>
        </w:rPr>
        <w:t>utgöra</w:t>
      </w:r>
      <w:r>
        <w:rPr>
          <w:spacing w:val="-6"/>
          <w:sz w:val="24"/>
        </w:rPr>
        <w:t> </w:t>
      </w:r>
      <w:r>
        <w:rPr>
          <w:sz w:val="24"/>
        </w:rPr>
        <w:t>skador.</w:t>
      </w:r>
      <w:r>
        <w:rPr>
          <w:spacing w:val="-7"/>
          <w:sz w:val="24"/>
        </w:rPr>
        <w:t> </w:t>
      </w:r>
      <w:r>
        <w:rPr>
          <w:sz w:val="24"/>
        </w:rPr>
        <w:t>TBT</w:t>
      </w:r>
      <w:r>
        <w:rPr>
          <w:spacing w:val="-4"/>
          <w:sz w:val="24"/>
        </w:rPr>
        <w:t> </w:t>
      </w:r>
      <w:r>
        <w:rPr>
          <w:sz w:val="24"/>
        </w:rPr>
        <w:t>är</w:t>
      </w:r>
      <w:r>
        <w:rPr>
          <w:spacing w:val="-5"/>
          <w:sz w:val="24"/>
        </w:rPr>
        <w:t> </w:t>
      </w:r>
      <w:r>
        <w:rPr>
          <w:sz w:val="24"/>
        </w:rPr>
        <w:t>hormonstörande. TBT läcker fortfarande ut från underliggande färglager på</w:t>
      </w:r>
      <w:r>
        <w:rPr>
          <w:spacing w:val="-3"/>
          <w:sz w:val="24"/>
        </w:rPr>
        <w:t> </w:t>
      </w:r>
      <w:r>
        <w:rPr>
          <w:sz w:val="24"/>
        </w:rPr>
        <w:t>båtar.</w:t>
      </w:r>
    </w:p>
    <w:p>
      <w:pPr>
        <w:pStyle w:val="BodyText"/>
        <w:spacing w:before="1"/>
        <w:rPr>
          <w:sz w:val="36"/>
        </w:rPr>
      </w:pPr>
    </w:p>
    <w:p>
      <w:pPr>
        <w:pStyle w:val="ListParagraph"/>
        <w:numPr>
          <w:ilvl w:val="0"/>
          <w:numId w:val="1"/>
        </w:numPr>
        <w:tabs>
          <w:tab w:pos="817" w:val="left" w:leader="none"/>
          <w:tab w:pos="818" w:val="left" w:leader="none"/>
        </w:tabs>
        <w:spacing w:line="240" w:lineRule="auto" w:before="0" w:after="0"/>
        <w:ind w:left="817" w:right="438" w:hanging="360"/>
        <w:jc w:val="left"/>
        <w:rPr>
          <w:rFonts w:ascii="Symbol" w:hAnsi="Symbol"/>
          <w:color w:val="4F4F4F"/>
          <w:sz w:val="20"/>
        </w:rPr>
      </w:pPr>
      <w:r>
        <w:rPr>
          <w:b/>
          <w:sz w:val="24"/>
        </w:rPr>
        <w:t>Oljeprodukter </w:t>
      </w:r>
      <w:r>
        <w:rPr>
          <w:sz w:val="24"/>
        </w:rPr>
        <w:t>är en stor fara för sjöbotten- och havsbottenlevande organismer.</w:t>
      </w:r>
      <w:r>
        <w:rPr>
          <w:spacing w:val="-33"/>
          <w:sz w:val="24"/>
        </w:rPr>
        <w:t> </w:t>
      </w:r>
      <w:r>
        <w:rPr>
          <w:sz w:val="24"/>
        </w:rPr>
        <w:t>Olja som når grundvattnet kan förstöra stora</w:t>
      </w:r>
      <w:r>
        <w:rPr>
          <w:spacing w:val="-5"/>
          <w:sz w:val="24"/>
        </w:rPr>
        <w:t> </w:t>
      </w:r>
      <w:r>
        <w:rPr>
          <w:sz w:val="24"/>
        </w:rPr>
        <w:t>dricksvattentäkter.</w:t>
      </w:r>
    </w:p>
    <w:p>
      <w:pPr>
        <w:pStyle w:val="BodyText"/>
        <w:spacing w:before="11"/>
        <w:rPr>
          <w:sz w:val="35"/>
        </w:rPr>
      </w:pPr>
    </w:p>
    <w:p>
      <w:pPr>
        <w:pStyle w:val="ListParagraph"/>
        <w:numPr>
          <w:ilvl w:val="0"/>
          <w:numId w:val="1"/>
        </w:numPr>
        <w:tabs>
          <w:tab w:pos="817" w:val="left" w:leader="none"/>
          <w:tab w:pos="818" w:val="left" w:leader="none"/>
        </w:tabs>
        <w:spacing w:line="240" w:lineRule="auto" w:before="0" w:after="0"/>
        <w:ind w:left="817" w:right="304" w:hanging="360"/>
        <w:jc w:val="left"/>
        <w:rPr>
          <w:rFonts w:ascii="Symbol" w:hAnsi="Symbol"/>
          <w:color w:val="4F4F4F"/>
          <w:sz w:val="20"/>
        </w:rPr>
      </w:pPr>
      <w:r>
        <w:rPr>
          <w:b/>
          <w:sz w:val="24"/>
        </w:rPr>
        <w:t>Xylen </w:t>
      </w:r>
      <w:r>
        <w:rPr>
          <w:sz w:val="24"/>
        </w:rPr>
        <w:t>och </w:t>
      </w:r>
      <w:r>
        <w:rPr>
          <w:b/>
          <w:sz w:val="24"/>
        </w:rPr>
        <w:t>toluen </w:t>
      </w:r>
      <w:r>
        <w:rPr>
          <w:sz w:val="24"/>
        </w:rPr>
        <w:t>ingår som lösningsmedel i många produkter, och är aromatiska kolväten som är toxiska för vattenlevande organismer. För marklevande organismer</w:t>
      </w:r>
      <w:r>
        <w:rPr>
          <w:spacing w:val="-31"/>
          <w:sz w:val="24"/>
        </w:rPr>
        <w:t> </w:t>
      </w:r>
      <w:r>
        <w:rPr>
          <w:sz w:val="24"/>
        </w:rPr>
        <w:t>är ämnena mycket giftiga. Xylen och toluen är hälsovådligt för</w:t>
      </w:r>
      <w:r>
        <w:rPr>
          <w:spacing w:val="-5"/>
          <w:sz w:val="24"/>
        </w:rPr>
        <w:t> </w:t>
      </w:r>
      <w:r>
        <w:rPr>
          <w:sz w:val="24"/>
        </w:rPr>
        <w:t>människan.</w:t>
      </w:r>
    </w:p>
    <w:p>
      <w:pPr>
        <w:pStyle w:val="BodyText"/>
        <w:spacing w:before="1"/>
        <w:rPr>
          <w:sz w:val="36"/>
        </w:rPr>
      </w:pPr>
    </w:p>
    <w:p>
      <w:pPr>
        <w:pStyle w:val="ListParagraph"/>
        <w:numPr>
          <w:ilvl w:val="0"/>
          <w:numId w:val="1"/>
        </w:numPr>
        <w:tabs>
          <w:tab w:pos="817" w:val="left" w:leader="none"/>
          <w:tab w:pos="818" w:val="left" w:leader="none"/>
        </w:tabs>
        <w:spacing w:line="240" w:lineRule="auto" w:before="0" w:after="0"/>
        <w:ind w:left="817" w:right="0" w:hanging="360"/>
        <w:jc w:val="left"/>
        <w:rPr>
          <w:rFonts w:ascii="Symbol" w:hAnsi="Symbol"/>
          <w:color w:val="4F4F4F"/>
          <w:sz w:val="20"/>
        </w:rPr>
      </w:pPr>
      <w:r>
        <w:rPr>
          <w:b/>
          <w:sz w:val="24"/>
        </w:rPr>
        <w:t>Lacknafta </w:t>
      </w:r>
      <w:r>
        <w:rPr>
          <w:sz w:val="24"/>
        </w:rPr>
        <w:t>(alifater) är hälso- och</w:t>
      </w:r>
      <w:r>
        <w:rPr>
          <w:spacing w:val="-26"/>
          <w:sz w:val="24"/>
        </w:rPr>
        <w:t> </w:t>
      </w:r>
      <w:r>
        <w:rPr>
          <w:sz w:val="24"/>
        </w:rPr>
        <w:t>miljöskadligt.</w:t>
      </w:r>
    </w:p>
    <w:p>
      <w:pPr>
        <w:pStyle w:val="BodyText"/>
        <w:spacing w:before="11"/>
        <w:rPr>
          <w:sz w:val="35"/>
        </w:rPr>
      </w:pPr>
    </w:p>
    <w:p>
      <w:pPr>
        <w:pStyle w:val="ListParagraph"/>
        <w:numPr>
          <w:ilvl w:val="0"/>
          <w:numId w:val="1"/>
        </w:numPr>
        <w:tabs>
          <w:tab w:pos="817" w:val="left" w:leader="none"/>
          <w:tab w:pos="818" w:val="left" w:leader="none"/>
        </w:tabs>
        <w:spacing w:line="240" w:lineRule="auto" w:before="0" w:after="0"/>
        <w:ind w:left="817" w:right="231" w:hanging="360"/>
        <w:jc w:val="left"/>
        <w:rPr>
          <w:rFonts w:ascii="Symbol" w:hAnsi="Symbol"/>
          <w:color w:val="4F4F4F"/>
          <w:sz w:val="20"/>
        </w:rPr>
      </w:pPr>
      <w:r>
        <w:rPr>
          <w:b/>
          <w:sz w:val="24"/>
        </w:rPr>
        <w:t>Klorerade lösningsmedel </w:t>
      </w:r>
      <w:r>
        <w:rPr>
          <w:sz w:val="24"/>
        </w:rPr>
        <w:t>såsom t ex trikloretylen ger skador på centrala</w:t>
      </w:r>
      <w:r>
        <w:rPr>
          <w:spacing w:val="-37"/>
          <w:sz w:val="24"/>
        </w:rPr>
        <w:t> </w:t>
      </w:r>
      <w:r>
        <w:rPr>
          <w:sz w:val="24"/>
        </w:rPr>
        <w:t>nervsystemet och flera inre organ. De har negativa effekter på ozonskiktet samt även cancerframkallande egenskaper hos människor och</w:t>
      </w:r>
      <w:r>
        <w:rPr>
          <w:spacing w:val="-4"/>
          <w:sz w:val="24"/>
        </w:rPr>
        <w:t> </w:t>
      </w:r>
      <w:r>
        <w:rPr>
          <w:sz w:val="24"/>
        </w:rPr>
        <w:t>djur.</w:t>
      </w:r>
    </w:p>
    <w:p>
      <w:pPr>
        <w:pStyle w:val="BodyText"/>
        <w:spacing w:before="1"/>
        <w:rPr>
          <w:sz w:val="36"/>
        </w:rPr>
      </w:pPr>
    </w:p>
    <w:p>
      <w:pPr>
        <w:pStyle w:val="ListParagraph"/>
        <w:numPr>
          <w:ilvl w:val="0"/>
          <w:numId w:val="1"/>
        </w:numPr>
        <w:tabs>
          <w:tab w:pos="817" w:val="left" w:leader="none"/>
          <w:tab w:pos="818" w:val="left" w:leader="none"/>
        </w:tabs>
        <w:spacing w:line="240" w:lineRule="auto" w:before="0" w:after="0"/>
        <w:ind w:left="817" w:right="627" w:hanging="360"/>
        <w:jc w:val="left"/>
        <w:rPr>
          <w:rFonts w:ascii="Symbol" w:hAnsi="Symbol"/>
          <w:color w:val="4F4F4F"/>
          <w:sz w:val="20"/>
        </w:rPr>
      </w:pPr>
      <w:r>
        <w:rPr>
          <w:b/>
          <w:sz w:val="24"/>
        </w:rPr>
        <w:t>Fenol </w:t>
      </w:r>
      <w:r>
        <w:rPr>
          <w:sz w:val="24"/>
        </w:rPr>
        <w:t>är ett irriterande, vävnadsskadande ämne med relativt hög akut toxicitet</w:t>
      </w:r>
      <w:r>
        <w:rPr>
          <w:spacing w:val="-28"/>
          <w:sz w:val="24"/>
        </w:rPr>
        <w:t> </w:t>
      </w:r>
      <w:r>
        <w:rPr>
          <w:sz w:val="24"/>
        </w:rPr>
        <w:t>som också kan ge skador på det centrala nervsystemet. Fenol absorberas lätt både via hudkontakt, inandning och via mag-</w:t>
      </w:r>
      <w:r>
        <w:rPr>
          <w:spacing w:val="-5"/>
          <w:sz w:val="24"/>
        </w:rPr>
        <w:t> </w:t>
      </w:r>
      <w:r>
        <w:rPr>
          <w:sz w:val="24"/>
        </w:rPr>
        <w:t>tarmkanal.</w:t>
      </w:r>
    </w:p>
    <w:p>
      <w:pPr>
        <w:pStyle w:val="BodyText"/>
        <w:spacing w:before="11"/>
        <w:rPr>
          <w:sz w:val="35"/>
        </w:rPr>
      </w:pPr>
    </w:p>
    <w:p>
      <w:pPr>
        <w:pStyle w:val="ListParagraph"/>
        <w:numPr>
          <w:ilvl w:val="0"/>
          <w:numId w:val="1"/>
        </w:numPr>
        <w:tabs>
          <w:tab w:pos="836" w:val="left" w:leader="none"/>
          <w:tab w:pos="837" w:val="left" w:leader="none"/>
        </w:tabs>
        <w:spacing w:line="240" w:lineRule="auto" w:before="0" w:after="0"/>
        <w:ind w:left="836" w:right="322" w:hanging="360"/>
        <w:jc w:val="left"/>
        <w:rPr>
          <w:rFonts w:ascii="Symbol" w:hAnsi="Symbol"/>
          <w:sz w:val="18"/>
        </w:rPr>
      </w:pPr>
      <w:r>
        <w:rPr>
          <w:b/>
          <w:sz w:val="24"/>
        </w:rPr>
        <w:t>Ftalater </w:t>
      </w:r>
      <w:r>
        <w:rPr>
          <w:sz w:val="24"/>
        </w:rPr>
        <w:t>är en grupp av ämnen som framförallt används som mjukgörare i PVC-plast, men också i färg och fogmassa. Många ftalater har konstaterats kunna skada fortplantningsförmågan, och för andra finns misstanke om att de gör det. Vissa är också hormonstörande och har visats ha samband med sjukdomar som astma och diabetes. Flera av ftalaterna kan bioackumuleras.</w:t>
      </w:r>
    </w:p>
    <w:p>
      <w:pPr>
        <w:spacing w:after="0" w:line="240" w:lineRule="auto"/>
        <w:jc w:val="left"/>
        <w:rPr>
          <w:rFonts w:ascii="Symbol" w:hAnsi="Symbol"/>
          <w:sz w:val="18"/>
        </w:rPr>
        <w:sectPr>
          <w:pgSz w:w="11910" w:h="16840"/>
          <w:pgMar w:header="728" w:footer="0" w:top="1660" w:bottom="280" w:left="1300" w:right="1200"/>
        </w:sect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ListParagraph"/>
        <w:numPr>
          <w:ilvl w:val="0"/>
          <w:numId w:val="1"/>
        </w:numPr>
        <w:tabs>
          <w:tab w:pos="818" w:val="left" w:leader="none"/>
        </w:tabs>
        <w:spacing w:line="240" w:lineRule="auto" w:before="90" w:after="0"/>
        <w:ind w:left="817" w:right="387" w:hanging="360"/>
        <w:jc w:val="both"/>
        <w:rPr>
          <w:rFonts w:ascii="Symbol" w:hAnsi="Symbol"/>
          <w:color w:val="4F4F4F"/>
          <w:sz w:val="20"/>
        </w:rPr>
      </w:pPr>
      <w:r>
        <w:rPr>
          <w:b/>
          <w:sz w:val="24"/>
        </w:rPr>
        <w:t>Klorparaffiner </w:t>
      </w:r>
      <w:r>
        <w:rPr>
          <w:sz w:val="24"/>
        </w:rPr>
        <w:t>används bland annat som tillsats i färg, plast och gummi.</w:t>
      </w:r>
      <w:r>
        <w:rPr>
          <w:spacing w:val="-20"/>
          <w:sz w:val="24"/>
        </w:rPr>
        <w:t> </w:t>
      </w:r>
      <w:r>
        <w:rPr>
          <w:sz w:val="24"/>
        </w:rPr>
        <w:t>Framförallt bedöms de kortkedjiga, högklorerade substanserna vara miljöfarliga för vattenmiljön, giftiga för akvatiska organismer och potentiellt</w:t>
      </w:r>
      <w:r>
        <w:rPr>
          <w:spacing w:val="-7"/>
          <w:sz w:val="24"/>
        </w:rPr>
        <w:t> </w:t>
      </w:r>
      <w:r>
        <w:rPr>
          <w:sz w:val="24"/>
        </w:rPr>
        <w:t>bioackumulerbara.</w:t>
      </w:r>
    </w:p>
    <w:p>
      <w:pPr>
        <w:pStyle w:val="BodyText"/>
      </w:pPr>
    </w:p>
    <w:p>
      <w:pPr>
        <w:pStyle w:val="ListParagraph"/>
        <w:numPr>
          <w:ilvl w:val="0"/>
          <w:numId w:val="1"/>
        </w:numPr>
        <w:tabs>
          <w:tab w:pos="817" w:val="left" w:leader="none"/>
          <w:tab w:pos="818" w:val="left" w:leader="none"/>
        </w:tabs>
        <w:spacing w:line="240" w:lineRule="auto" w:before="0" w:after="0"/>
        <w:ind w:left="817" w:right="1894" w:hanging="360"/>
        <w:jc w:val="left"/>
        <w:rPr>
          <w:rFonts w:ascii="Symbol" w:hAnsi="Symbol"/>
          <w:sz w:val="20"/>
        </w:rPr>
      </w:pPr>
      <w:r>
        <w:rPr>
          <w:b/>
          <w:sz w:val="24"/>
        </w:rPr>
        <w:t>Nonylfenoletoxylater </w:t>
      </w:r>
      <w:r>
        <w:rPr>
          <w:sz w:val="24"/>
        </w:rPr>
        <w:t>bryts ner till nonylfenol som är giftigt för vattenlevande organismer, kan lagras i människors- och djurs</w:t>
      </w:r>
      <w:r>
        <w:rPr>
          <w:spacing w:val="-15"/>
          <w:sz w:val="24"/>
        </w:rPr>
        <w:t> </w:t>
      </w:r>
      <w:r>
        <w:rPr>
          <w:sz w:val="24"/>
        </w:rPr>
        <w:t>kroppar samt är svårnedbrytbart i akvatisk</w:t>
      </w:r>
      <w:r>
        <w:rPr>
          <w:spacing w:val="9"/>
          <w:sz w:val="24"/>
        </w:rPr>
        <w:t> </w:t>
      </w:r>
      <w:r>
        <w:rPr>
          <w:sz w:val="24"/>
        </w:rPr>
        <w:t>miljö.</w:t>
      </w:r>
    </w:p>
    <w:p>
      <w:pPr>
        <w:pStyle w:val="BodyText"/>
        <w:spacing w:before="10"/>
        <w:rPr>
          <w:sz w:val="35"/>
        </w:rPr>
      </w:pPr>
    </w:p>
    <w:p>
      <w:pPr>
        <w:pStyle w:val="ListParagraph"/>
        <w:numPr>
          <w:ilvl w:val="0"/>
          <w:numId w:val="1"/>
        </w:numPr>
        <w:tabs>
          <w:tab w:pos="817" w:val="left" w:leader="none"/>
          <w:tab w:pos="818" w:val="left" w:leader="none"/>
        </w:tabs>
        <w:spacing w:line="240" w:lineRule="auto" w:before="0" w:after="0"/>
        <w:ind w:left="817" w:right="1827" w:hanging="360"/>
        <w:jc w:val="left"/>
        <w:rPr>
          <w:rFonts w:ascii="Symbol" w:hAnsi="Symbol"/>
          <w:sz w:val="20"/>
        </w:rPr>
      </w:pPr>
      <w:r>
        <w:rPr>
          <w:b/>
          <w:sz w:val="24"/>
        </w:rPr>
        <w:t>PAH </w:t>
      </w:r>
      <w:r>
        <w:rPr>
          <w:sz w:val="24"/>
        </w:rPr>
        <w:t>(polycykliska aromatiska kolväten) är en grupp ämnen som bildas vid ofullständig förbränning. (finns i exempelvis tjära). Flera</w:t>
      </w:r>
      <w:r>
        <w:rPr>
          <w:spacing w:val="-17"/>
          <w:sz w:val="24"/>
        </w:rPr>
        <w:t> </w:t>
      </w:r>
      <w:r>
        <w:rPr>
          <w:sz w:val="24"/>
        </w:rPr>
        <w:t>av dem är cancerframkallande. De är svårnedbrytbara och ansamlas i fettvävnad hos människor och</w:t>
      </w:r>
      <w:r>
        <w:rPr>
          <w:spacing w:val="-2"/>
          <w:sz w:val="24"/>
        </w:rPr>
        <w:t> </w:t>
      </w:r>
      <w:r>
        <w:rPr>
          <w:sz w:val="24"/>
        </w:rPr>
        <w:t>djur.</w:t>
      </w:r>
    </w:p>
    <w:sectPr>
      <w:pgSz w:w="11910" w:h="16840"/>
      <w:pgMar w:header="728" w:footer="0" w:top="1660" w:bottom="280" w:left="13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31863">
          <wp:simplePos x="0" y="0"/>
          <wp:positionH relativeFrom="page">
            <wp:posOffset>612775</wp:posOffset>
          </wp:positionH>
          <wp:positionV relativeFrom="page">
            <wp:posOffset>462279</wp:posOffset>
          </wp:positionV>
          <wp:extent cx="1439418" cy="48895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439418" cy="48895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16.009995pt;margin-top:38.583458pt;width:88.1pt;height:13.15pt;mso-position-horizontal-relative:page;mso-position-vertical-relative:page;z-index:-3568" type="#_x0000_t202" filled="false" stroked="false">
          <v:textbox inset="0,0,0,0">
            <w:txbxContent>
              <w:p>
                <w:pPr>
                  <w:spacing w:before="12"/>
                  <w:ind w:left="20" w:right="0" w:firstLine="0"/>
                  <w:jc w:val="left"/>
                  <w:rPr>
                    <w:rFonts w:ascii="Arial" w:hAnsi="Arial"/>
                    <w:b/>
                    <w:sz w:val="20"/>
                  </w:rPr>
                </w:pPr>
                <w:r>
                  <w:rPr>
                    <w:rFonts w:ascii="Arial" w:hAnsi="Arial"/>
                    <w:b/>
                    <w:sz w:val="20"/>
                  </w:rPr>
                  <w:t>Miljöförvaltningen</w:t>
                </w:r>
              </w:p>
            </w:txbxContent>
          </v:textbox>
          <w10:wrap type="none"/>
        </v:shape>
      </w:pict>
    </w:r>
    <w:r>
      <w:rPr/>
      <w:pict>
        <v:shape style="position:absolute;margin-left:432.029999pt;margin-top:38.445763pt;width:124.8pt;height:37.550pt;mso-position-horizontal-relative:page;mso-position-vertical-relative:page;z-index:-3544" type="#_x0000_t202" filled="false" stroked="false">
          <v:textbox inset="0,0,0,0">
            <w:txbxContent>
              <w:p>
                <w:pPr>
                  <w:spacing w:before="13"/>
                  <w:ind w:left="20" w:right="0" w:firstLine="0"/>
                  <w:jc w:val="left"/>
                  <w:rPr>
                    <w:rFonts w:ascii="Arial" w:hAnsi="Arial"/>
                    <w:b/>
                    <w:sz w:val="22"/>
                  </w:rPr>
                </w:pPr>
                <w:r>
                  <w:rPr>
                    <w:rFonts w:ascii="Arial" w:hAnsi="Arial"/>
                    <w:b/>
                    <w:sz w:val="22"/>
                  </w:rPr>
                  <w:t>Miljö- och</w:t>
                </w:r>
                <w:r>
                  <w:rPr>
                    <w:rFonts w:ascii="Arial" w:hAnsi="Arial"/>
                    <w:b/>
                    <w:spacing w:val="-10"/>
                    <w:sz w:val="22"/>
                  </w:rPr>
                  <w:t> </w:t>
                </w:r>
                <w:r>
                  <w:rPr>
                    <w:rFonts w:ascii="Arial" w:hAnsi="Arial"/>
                    <w:b/>
                    <w:sz w:val="22"/>
                  </w:rPr>
                  <w:t>hälsoeffekter</w:t>
                </w:r>
              </w:p>
              <w:p>
                <w:pPr>
                  <w:spacing w:before="4"/>
                  <w:ind w:left="1566" w:right="0" w:firstLine="0"/>
                  <w:jc w:val="center"/>
                  <w:rPr>
                    <w:rFonts w:ascii="Arial"/>
                    <w:sz w:val="20"/>
                  </w:rPr>
                </w:pPr>
                <w:r>
                  <w:rPr>
                    <w:rFonts w:ascii="Arial"/>
                    <w:sz w:val="20"/>
                  </w:rPr>
                  <w:t>Sida </w:t>
                </w:r>
                <w:r>
                  <w:rPr/>
                  <w:fldChar w:fldCharType="begin"/>
                </w:r>
                <w:r>
                  <w:rPr>
                    <w:rFonts w:ascii="Arial"/>
                    <w:sz w:val="20"/>
                  </w:rPr>
                  <w:instrText> PAGE </w:instrText>
                </w:r>
                <w:r>
                  <w:rPr/>
                  <w:fldChar w:fldCharType="separate"/>
                </w:r>
                <w:r>
                  <w:rPr/>
                  <w:t>1</w:t>
                </w:r>
                <w:r>
                  <w:rPr/>
                  <w:fldChar w:fldCharType="end"/>
                </w:r>
                <w:r>
                  <w:rPr>
                    <w:rFonts w:ascii="Arial"/>
                    <w:spacing w:val="12"/>
                    <w:sz w:val="20"/>
                  </w:rPr>
                  <w:t> </w:t>
                </w:r>
                <w:r>
                  <w:rPr>
                    <w:rFonts w:ascii="Arial"/>
                    <w:sz w:val="20"/>
                  </w:rPr>
                  <w:t>(3)</w:t>
                </w:r>
              </w:p>
              <w:p>
                <w:pPr>
                  <w:spacing w:before="0"/>
                  <w:ind w:left="1435" w:right="0" w:firstLine="0"/>
                  <w:jc w:val="center"/>
                  <w:rPr>
                    <w:rFonts w:ascii="Arial"/>
                    <w:sz w:val="20"/>
                  </w:rPr>
                </w:pPr>
                <w:r>
                  <w:rPr>
                    <w:rFonts w:ascii="Arial"/>
                    <w:sz w:val="20"/>
                  </w:rPr>
                  <w:t>2017-03-20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17" w:hanging="360"/>
      </w:pPr>
      <w:rPr>
        <w:rFonts w:hint="default"/>
        <w:w w:val="97"/>
        <w:lang w:val="sv-SE" w:eastAsia="sv-SE" w:bidi="sv-SE"/>
      </w:rPr>
    </w:lvl>
    <w:lvl w:ilvl="1">
      <w:start w:val="0"/>
      <w:numFmt w:val="bullet"/>
      <w:lvlText w:val="•"/>
      <w:lvlJc w:val="left"/>
      <w:pPr>
        <w:ind w:left="1678" w:hanging="360"/>
      </w:pPr>
      <w:rPr>
        <w:rFonts w:hint="default"/>
        <w:lang w:val="sv-SE" w:eastAsia="sv-SE" w:bidi="sv-SE"/>
      </w:rPr>
    </w:lvl>
    <w:lvl w:ilvl="2">
      <w:start w:val="0"/>
      <w:numFmt w:val="bullet"/>
      <w:lvlText w:val="•"/>
      <w:lvlJc w:val="left"/>
      <w:pPr>
        <w:ind w:left="2537" w:hanging="360"/>
      </w:pPr>
      <w:rPr>
        <w:rFonts w:hint="default"/>
        <w:lang w:val="sv-SE" w:eastAsia="sv-SE" w:bidi="sv-SE"/>
      </w:rPr>
    </w:lvl>
    <w:lvl w:ilvl="3">
      <w:start w:val="0"/>
      <w:numFmt w:val="bullet"/>
      <w:lvlText w:val="•"/>
      <w:lvlJc w:val="left"/>
      <w:pPr>
        <w:ind w:left="3395" w:hanging="360"/>
      </w:pPr>
      <w:rPr>
        <w:rFonts w:hint="default"/>
        <w:lang w:val="sv-SE" w:eastAsia="sv-SE" w:bidi="sv-SE"/>
      </w:rPr>
    </w:lvl>
    <w:lvl w:ilvl="4">
      <w:start w:val="0"/>
      <w:numFmt w:val="bullet"/>
      <w:lvlText w:val="•"/>
      <w:lvlJc w:val="left"/>
      <w:pPr>
        <w:ind w:left="4254" w:hanging="360"/>
      </w:pPr>
      <w:rPr>
        <w:rFonts w:hint="default"/>
        <w:lang w:val="sv-SE" w:eastAsia="sv-SE" w:bidi="sv-SE"/>
      </w:rPr>
    </w:lvl>
    <w:lvl w:ilvl="5">
      <w:start w:val="0"/>
      <w:numFmt w:val="bullet"/>
      <w:lvlText w:val="•"/>
      <w:lvlJc w:val="left"/>
      <w:pPr>
        <w:ind w:left="5113" w:hanging="360"/>
      </w:pPr>
      <w:rPr>
        <w:rFonts w:hint="default"/>
        <w:lang w:val="sv-SE" w:eastAsia="sv-SE" w:bidi="sv-SE"/>
      </w:rPr>
    </w:lvl>
    <w:lvl w:ilvl="6">
      <w:start w:val="0"/>
      <w:numFmt w:val="bullet"/>
      <w:lvlText w:val="•"/>
      <w:lvlJc w:val="left"/>
      <w:pPr>
        <w:ind w:left="5971" w:hanging="360"/>
      </w:pPr>
      <w:rPr>
        <w:rFonts w:hint="default"/>
        <w:lang w:val="sv-SE" w:eastAsia="sv-SE" w:bidi="sv-SE"/>
      </w:rPr>
    </w:lvl>
    <w:lvl w:ilvl="7">
      <w:start w:val="0"/>
      <w:numFmt w:val="bullet"/>
      <w:lvlText w:val="•"/>
      <w:lvlJc w:val="left"/>
      <w:pPr>
        <w:ind w:left="6830" w:hanging="360"/>
      </w:pPr>
      <w:rPr>
        <w:rFonts w:hint="default"/>
        <w:lang w:val="sv-SE" w:eastAsia="sv-SE" w:bidi="sv-SE"/>
      </w:rPr>
    </w:lvl>
    <w:lvl w:ilvl="8">
      <w:start w:val="0"/>
      <w:numFmt w:val="bullet"/>
      <w:lvlText w:val="•"/>
      <w:lvlJc w:val="left"/>
      <w:pPr>
        <w:ind w:left="7689" w:hanging="360"/>
      </w:pPr>
      <w:rPr>
        <w:rFonts w:hint="default"/>
        <w:lang w:val="sv-SE" w:eastAsia="sv-SE" w:bidi="sv-S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v-SE" w:eastAsia="sv-SE" w:bidi="sv-SE"/>
    </w:rPr>
  </w:style>
  <w:style w:styleId="BodyText" w:type="paragraph">
    <w:name w:val="Body Text"/>
    <w:basedOn w:val="Normal"/>
    <w:uiPriority w:val="1"/>
    <w:qFormat/>
    <w:pPr/>
    <w:rPr>
      <w:rFonts w:ascii="Times New Roman" w:hAnsi="Times New Roman" w:eastAsia="Times New Roman" w:cs="Times New Roman"/>
      <w:sz w:val="24"/>
      <w:szCs w:val="24"/>
      <w:lang w:val="sv-SE" w:eastAsia="sv-SE" w:bidi="sv-SE"/>
    </w:rPr>
  </w:style>
  <w:style w:styleId="Heading1" w:type="paragraph">
    <w:name w:val="Heading 1"/>
    <w:basedOn w:val="Normal"/>
    <w:uiPriority w:val="1"/>
    <w:qFormat/>
    <w:pPr>
      <w:ind w:left="116"/>
      <w:outlineLvl w:val="1"/>
    </w:pPr>
    <w:rPr>
      <w:rFonts w:ascii="Arial" w:hAnsi="Arial" w:eastAsia="Arial" w:cs="Arial"/>
      <w:b/>
      <w:bCs/>
      <w:sz w:val="26"/>
      <w:szCs w:val="26"/>
      <w:lang w:val="sv-SE" w:eastAsia="sv-SE" w:bidi="sv-SE"/>
    </w:rPr>
  </w:style>
  <w:style w:styleId="ListParagraph" w:type="paragraph">
    <w:name w:val="List Paragraph"/>
    <w:basedOn w:val="Normal"/>
    <w:uiPriority w:val="1"/>
    <w:qFormat/>
    <w:pPr>
      <w:ind w:left="817" w:hanging="360"/>
    </w:pPr>
    <w:rPr>
      <w:rFonts w:ascii="Times New Roman" w:hAnsi="Times New Roman" w:eastAsia="Times New Roman" w:cs="Times New Roman"/>
      <w:lang w:val="sv-SE" w:eastAsia="sv-SE" w:bidi="sv-SE"/>
    </w:rPr>
  </w:style>
  <w:style w:styleId="TableParagraph" w:type="paragraph">
    <w:name w:val="Table Paragraph"/>
    <w:basedOn w:val="Normal"/>
    <w:uiPriority w:val="1"/>
    <w:qFormat/>
    <w:pPr/>
    <w:rPr>
      <w:lang w:val="sv-SE" w:eastAsia="sv-SE" w:bidi="sv-S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Pendar Behnood</dc:creator>
  <dcterms:created xsi:type="dcterms:W3CDTF">2018-04-19T08:02:34Z</dcterms:created>
  <dcterms:modified xsi:type="dcterms:W3CDTF">2018-04-19T08:02:34Z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Microsoft® Word 2016</vt:lpwstr>
  </property>
  <property fmtid="{D5CDD505-2E9C-101B-9397-08002B2CF9AE}" pid="4" name="LastSaved">
    <vt:filetime>2018-04-19T00:00:00Z</vt:filetime>
  </property>
</Properties>
</file>